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9"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11"/>
        <w:gridCol w:w="7728"/>
      </w:tblGrid>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Cơ quan Công bố/Công khai</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Bộ Khoa học và Công nghệ</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Mã thủ tục</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B-BKC-282319-TT</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Cấp thực hiện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Không có thông tin</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Lĩnh vực</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Sở hữu trí tuệ</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Trình tự thực hiện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Tiếp nhận đơn: Đơn khiếu nại có thể nộp trực tiếp hoặc qua bưu điện tới trụ sở Cục Sở hữu trí tuệ tại Hà Nội hoặc 2 Văn phòng đại diện của Cục tại TP. Hồ Chí Minh và Đà Nẵng.</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Thụ lý đơn khiếu nại: Kiểm tra đơn theo các yêu cầu về hình thức (lý do khiếu nại, quyết định bị khiếu nại, thời hạn khiếu nại, người khiếu nại, người có quyền lợi liên quan), và thông báo bằng văn bản cho người khiếu nại về việc thụ lý/không thụ lý đơn khiếu nại (có nêu rõ lý do).</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Thông báo bằng văn bản nội dung khiếu nại cho người có quyền, lợi ích liên quan và ấn định thời hạn trả lời.</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Thông báo cho người khiếu nại và bên liên quan về những lập luận và chứng cứ của bên kia được sử dụng để giải quyết khiếu nại cũng như kết luận giải quyết khiếu nại.</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Ra quyết định giải quyết khiếu nại: căn cứ vào lập luận, chứng cứ của người khiếu nại và bên liên quan, Cục Sở hữu trí tuệ ra quyết định giải quyết khiếu nại.</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Công bố quyết định: quyết định giải quyết khiếu nại được công bố trên Công báo sở hữu công nghiệp trong thời hạn 02 tháng kể từ ngày ký quyết định.</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Cách thức thực hiện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Nộp trực tiếp tại trụ sở Cục Sở hữu trí tuệ tại Hà Nội hoặc 2 Văn phòng đại diện của Cục tại TP. Hồ Chí Minh và Đà Nẵng.</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Nộp qua bưu điện.</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Thành phần hồ sơ</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Tờ khai (02 bản);</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Văn bản giải trình khiếu nại và chứng cớ chứng minh lý lẽ khiếu nại;</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Bản sao quyết định hoặc thông báo bị khiếu nại của Cục Sở hữu trí tuệ;</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Bản sao quyết định giải quyết khiếu nại lần thứ nhất (đối với khiếu nại lần thứ hai);</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Giấy uỷ quyền (nếu nộp đơn thông qua đại diện);</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Bản sao chứng từ nộp phí, lệ phí (trường hợp nộp phí, lệ phí qua dịch vụ bưu chính hoặc nộp trực tiếp vào tài khoản của Cục Sở hữu trí tuệ).</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lastRenderedPageBreak/>
              <w:t>Số bộ hồ sơ</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01 bộ</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Mẫu đơn, mẫu tờ khai</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34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19"/>
              <w:gridCol w:w="3623"/>
            </w:tblGrid>
            <w:tr w:rsidR="00A86C03" w:rsidRPr="00A86C03">
              <w:trPr>
                <w:tblCellSpacing w:w="0" w:type="dxa"/>
              </w:trPr>
              <w:tc>
                <w:tcPr>
                  <w:tcW w:w="3719"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Tên mẫu đơn, mẫu tờ khai</w:t>
                  </w:r>
                </w:p>
              </w:tc>
              <w:tc>
                <w:tcPr>
                  <w:tcW w:w="36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Văn bản quy định</w:t>
                  </w:r>
                </w:p>
              </w:tc>
            </w:tr>
            <w:tr w:rsidR="00A86C03" w:rsidRPr="00A86C03">
              <w:trPr>
                <w:trHeight w:val="205"/>
                <w:tblCellSpacing w:w="0" w:type="dxa"/>
              </w:trPr>
              <w:tc>
                <w:tcPr>
                  <w:tcW w:w="371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hyperlink r:id="rId5" w:history="1">
                    <w:r w:rsidRPr="00A86C03">
                      <w:rPr>
                        <w:rFonts w:ascii="Times New Roman" w:eastAsia="Times New Roman" w:hAnsi="Times New Roman" w:cs="Times New Roman"/>
                        <w:color w:val="0000FF"/>
                        <w:sz w:val="24"/>
                        <w:szCs w:val="24"/>
                        <w:u w:val="single"/>
                      </w:rPr>
                      <w:t>to khai khieu nai.doc</w:t>
                    </w:r>
                  </w:hyperlink>
                </w:p>
              </w:tc>
              <w:tc>
                <w:tcPr>
                  <w:tcW w:w="36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after="0" w:line="240" w:lineRule="auto"/>
                    <w:rPr>
                      <w:rFonts w:ascii="Times New Roman" w:eastAsia="Times New Roman" w:hAnsi="Times New Roman" w:cs="Times New Roman"/>
                      <w:sz w:val="24"/>
                      <w:szCs w:val="24"/>
                    </w:rPr>
                  </w:pPr>
                </w:p>
              </w:tc>
            </w:tr>
          </w:tbl>
          <w:p w:rsidR="00A86C03" w:rsidRPr="00A86C03" w:rsidRDefault="00A86C03" w:rsidP="00A86C03">
            <w:pPr>
              <w:spacing w:after="0" w:line="240" w:lineRule="auto"/>
              <w:rPr>
                <w:rFonts w:ascii="Times New Roman" w:eastAsia="Times New Roman" w:hAnsi="Times New Roman" w:cs="Times New Roman"/>
                <w:sz w:val="24"/>
                <w:szCs w:val="24"/>
              </w:rPr>
            </w:pP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Phí</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Không có thông tin</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Lệ phí</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343"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16"/>
              <w:gridCol w:w="3627"/>
            </w:tblGrid>
            <w:tr w:rsidR="00A86C03" w:rsidRPr="00A86C03">
              <w:trPr>
                <w:tblCellSpacing w:w="0" w:type="dxa"/>
              </w:trPr>
              <w:tc>
                <w:tcPr>
                  <w:tcW w:w="3716"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hyperlink r:id="rId6" w:history="1">
                    <w:r w:rsidRPr="00A86C03">
                      <w:rPr>
                        <w:rFonts w:ascii="Times New Roman" w:eastAsia="Times New Roman" w:hAnsi="Times New Roman" w:cs="Times New Roman"/>
                        <w:b/>
                        <w:bCs/>
                        <w:color w:val="0000FF"/>
                        <w:sz w:val="24"/>
                        <w:szCs w:val="24"/>
                        <w:u w:val="single"/>
                      </w:rPr>
                      <w:t>Mô tả</w:t>
                    </w:r>
                  </w:hyperlink>
                </w:p>
              </w:tc>
              <w:tc>
                <w:tcPr>
                  <w:tcW w:w="3627"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hyperlink r:id="rId7" w:history="1">
                    <w:r w:rsidRPr="00A86C03">
                      <w:rPr>
                        <w:rFonts w:ascii="Times New Roman" w:eastAsia="Times New Roman" w:hAnsi="Times New Roman" w:cs="Times New Roman"/>
                        <w:b/>
                        <w:bCs/>
                        <w:color w:val="0000FF"/>
                        <w:sz w:val="24"/>
                        <w:szCs w:val="24"/>
                        <w:u w:val="single"/>
                      </w:rPr>
                      <w:t>Mức lệ phí</w:t>
                    </w:r>
                  </w:hyperlink>
                </w:p>
              </w:tc>
            </w:tr>
            <w:tr w:rsidR="00A86C03" w:rsidRPr="00A86C03">
              <w:trPr>
                <w:tblCellSpacing w:w="0" w:type="dxa"/>
              </w:trPr>
              <w:tc>
                <w:tcPr>
                  <w:tcW w:w="3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Phí tra cứu thông tin nhằm phục vụ việc thẩm định, giám định và các công việc khác trong phạm vi trách nhiệm: + Sáng chế (bao gồm cả giải pháp hữu ích)</w:t>
                  </w:r>
                </w:p>
              </w:tc>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120.000 đồng</w:t>
                  </w:r>
                </w:p>
              </w:tc>
            </w:tr>
            <w:tr w:rsidR="00A86C03" w:rsidRPr="00A86C03">
              <w:trPr>
                <w:tblCellSpacing w:w="0" w:type="dxa"/>
              </w:trPr>
              <w:tc>
                <w:tcPr>
                  <w:tcW w:w="3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Phí tra cứu thông tin nhằm phục vụ việc thẩm định, giám định và các công việc khác trong phạm vi trách nhiệm: Kiểu dáng công nghiệp</w:t>
                  </w:r>
                </w:p>
              </w:tc>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120.000 đồng</w:t>
                  </w:r>
                </w:p>
              </w:tc>
            </w:tr>
            <w:tr w:rsidR="00A86C03" w:rsidRPr="00A86C03">
              <w:trPr>
                <w:tblCellSpacing w:w="0" w:type="dxa"/>
              </w:trPr>
              <w:tc>
                <w:tcPr>
                  <w:tcW w:w="3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Phí tra cứu thông tin nhằm phục vụ việc thẩm định, giám định và các công việc khác trong phạm vi trách nhiệm: Nhãn hiệu nếu đơn nhãn hiệu có trên 6 sản phẩm/dịch vụ trong một nhóm, phải nộp thêm cho mỗi sản phẩm/dịch vụ từ thứ 7 trở đi: 24.000 đồng</w:t>
                  </w:r>
                </w:p>
              </w:tc>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60.000 đồng</w:t>
                  </w:r>
                </w:p>
              </w:tc>
            </w:tr>
            <w:tr w:rsidR="00A86C03" w:rsidRPr="00A86C03">
              <w:trPr>
                <w:tblCellSpacing w:w="0" w:type="dxa"/>
              </w:trPr>
              <w:tc>
                <w:tcPr>
                  <w:tcW w:w="3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Phí tra cứu thông tin nhằm phục vụ việc thẩm định, giám định và các công việc khác trong phạm vi trách nhiệm: Chỉ dẫn địa lý (bao gồm cả tên gọi xuất xứ hàng hoá)</w:t>
                  </w:r>
                </w:p>
              </w:tc>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60.000 đồng</w:t>
                  </w:r>
                </w:p>
              </w:tc>
            </w:tr>
            <w:tr w:rsidR="00A86C03" w:rsidRPr="00A86C03">
              <w:trPr>
                <w:tblCellSpacing w:w="0" w:type="dxa"/>
              </w:trPr>
              <w:tc>
                <w:tcPr>
                  <w:tcW w:w="3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Phí thẩm định, trưng cầu giám định các đối tượng sở hữu công nghiệp Sáng chế (bao gồm cả giải pháp hữu ích)</w:t>
                  </w:r>
                </w:p>
              </w:tc>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420.000 đồng</w:t>
                  </w:r>
                </w:p>
              </w:tc>
            </w:tr>
            <w:tr w:rsidR="00A86C03" w:rsidRPr="00A86C03">
              <w:trPr>
                <w:tblCellSpacing w:w="0" w:type="dxa"/>
              </w:trPr>
              <w:tc>
                <w:tcPr>
                  <w:tcW w:w="3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Phí thẩm định, trưng cầu giám định các đối tượng sở hữu công nghiệp Kiểu dáng công nghiệp</w:t>
                  </w:r>
                </w:p>
              </w:tc>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300.000 đồng</w:t>
                  </w:r>
                </w:p>
              </w:tc>
            </w:tr>
            <w:tr w:rsidR="00A86C03" w:rsidRPr="00A86C03">
              <w:trPr>
                <w:tblCellSpacing w:w="0" w:type="dxa"/>
              </w:trPr>
              <w:tc>
                <w:tcPr>
                  <w:tcW w:w="3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Phí thẩm định, trưng cầu giám định các đối tượng sở hữu công nghiệp Nhãn hiệu</w:t>
                  </w:r>
                </w:p>
              </w:tc>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300.000 đồng</w:t>
                  </w:r>
                </w:p>
              </w:tc>
            </w:tr>
            <w:tr w:rsidR="00A86C03" w:rsidRPr="00A86C03">
              <w:trPr>
                <w:tblCellSpacing w:w="0" w:type="dxa"/>
              </w:trPr>
              <w:tc>
                <w:tcPr>
                  <w:tcW w:w="3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Phí thẩm định, trưng cầu giám định các đối tượng sở hữu công nghiệp Chỉ dẫn địa lý (bao gồm cả tên gọi xuất xứ hàng hoá)</w:t>
                  </w:r>
                </w:p>
              </w:tc>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420.000 đồng</w:t>
                  </w:r>
                </w:p>
              </w:tc>
            </w:tr>
            <w:tr w:rsidR="00A86C03" w:rsidRPr="00A86C03">
              <w:trPr>
                <w:tblCellSpacing w:w="0" w:type="dxa"/>
              </w:trPr>
              <w:tc>
                <w:tcPr>
                  <w:tcW w:w="3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lastRenderedPageBreak/>
                    <w:t>Phí thẩm định, trưng cầu giám định các đối tượng sở hữu công nghiệp Thiết kế bố trí mạch tích hợp</w:t>
                  </w:r>
                </w:p>
              </w:tc>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300.000 đồng</w:t>
                  </w:r>
                </w:p>
              </w:tc>
            </w:tr>
          </w:tbl>
          <w:p w:rsidR="00A86C03" w:rsidRPr="00A86C03" w:rsidRDefault="00A86C03" w:rsidP="00A86C03">
            <w:pPr>
              <w:spacing w:after="0" w:line="240" w:lineRule="auto"/>
              <w:rPr>
                <w:rFonts w:ascii="Times New Roman" w:eastAsia="Times New Roman" w:hAnsi="Times New Roman" w:cs="Times New Roman"/>
                <w:sz w:val="24"/>
                <w:szCs w:val="24"/>
              </w:rPr>
            </w:pP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lastRenderedPageBreak/>
              <w:t>Mức giá</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Không có thông tin</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Thời hạn giải quyết</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- 10 ngày để ra thông báo thụ lý hoặc không thụ lý hồ sơ kể từ ngày tiếp nhận hồ sơ.</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- 30 ngày kể từ ngày ra thông báo để người có quyền, lợi ích liên quan trực tiếp có ý kiến.</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- 30 ngày kể từ ngày thụ lý; đối với vụ việc phức tạp thì thời hạn này là 45 ngày (đối với khiếu nại lần thứ nhất);</w:t>
            </w:r>
          </w:p>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- 45 ngày kể từ ngày thụ lý; đối với vụ việc phức tạp thì thời hạn này là 60 ngày (đối với khiếu nại lần thứ hai).</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Đối tượng thực hiện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Cá nhân - Tổ chức</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Cơ quan thực hiện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Cục Sở hữu trí tuệ</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Cơ quan có thẩm quyền quyết định</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Không có thông tin</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Địa chỉ tiếp nhận hồ sơ</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Không có thông tin</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Cơ quan được ủy quyền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Không có thông tin</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Cơ quan phối hợp</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Không có thông tin</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Kết quả thực hiện</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 Thông báo thụ lý hay không thụ lý đơn khiếu nại - Quyết định giải quyết khiếu nại.</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 xml:space="preserve">Căn cứ pháp lý của </w:t>
            </w:r>
            <w:bookmarkStart w:id="0" w:name="_GoBack"/>
            <w:bookmarkEnd w:id="0"/>
            <w:r w:rsidRPr="00A86C03">
              <w:rPr>
                <w:rFonts w:ascii="Times New Roman" w:eastAsia="Times New Roman" w:hAnsi="Times New Roman" w:cs="Times New Roman"/>
                <w:b/>
                <w:bCs/>
                <w:sz w:val="24"/>
                <w:szCs w:val="24"/>
              </w:rPr>
              <w:t>TTHC</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A86C03">
                <w:rPr>
                  <w:rFonts w:ascii="Times New Roman" w:eastAsia="Times New Roman" w:hAnsi="Times New Roman" w:cs="Times New Roman"/>
                  <w:color w:val="0000FF"/>
                  <w:sz w:val="24"/>
                  <w:szCs w:val="24"/>
                  <w:u w:val="single"/>
                </w:rPr>
                <w:t>Luật Sở hữu trí tuệ</w:t>
              </w:r>
            </w:hyperlink>
          </w:p>
          <w:p w:rsidR="00A86C03" w:rsidRPr="00A86C03" w:rsidRDefault="00A86C03" w:rsidP="00A86C0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A86C03">
                <w:rPr>
                  <w:rFonts w:ascii="Times New Roman" w:eastAsia="Times New Roman" w:hAnsi="Times New Roman" w:cs="Times New Roman"/>
                  <w:color w:val="0000FF"/>
                  <w:sz w:val="24"/>
                  <w:szCs w:val="24"/>
                  <w:u w:val="single"/>
                </w:rPr>
                <w:t>Nghị định 103/2006/NĐ-CP</w:t>
              </w:r>
            </w:hyperlink>
          </w:p>
          <w:p w:rsidR="00A86C03" w:rsidRPr="00A86C03" w:rsidRDefault="00A86C03" w:rsidP="00A86C0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A86C03">
                <w:rPr>
                  <w:rFonts w:ascii="Times New Roman" w:eastAsia="Times New Roman" w:hAnsi="Times New Roman" w:cs="Times New Roman"/>
                  <w:color w:val="0000FF"/>
                  <w:sz w:val="24"/>
                  <w:szCs w:val="24"/>
                  <w:u w:val="single"/>
                </w:rPr>
                <w:t>Thông tư 01/2007/TT-BKHCN</w:t>
              </w:r>
            </w:hyperlink>
          </w:p>
          <w:p w:rsidR="00A86C03" w:rsidRPr="00A86C03" w:rsidRDefault="00A86C03" w:rsidP="00A86C0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A86C03">
                <w:rPr>
                  <w:rFonts w:ascii="Times New Roman" w:eastAsia="Times New Roman" w:hAnsi="Times New Roman" w:cs="Times New Roman"/>
                  <w:color w:val="0000FF"/>
                  <w:sz w:val="24"/>
                  <w:szCs w:val="24"/>
                  <w:u w:val="single"/>
                </w:rPr>
                <w:t>Thông tư 22/2009/TT-BTC</w:t>
              </w:r>
            </w:hyperlink>
          </w:p>
          <w:p w:rsidR="00A86C03" w:rsidRPr="00A86C03" w:rsidRDefault="00A86C03" w:rsidP="00A86C0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A86C03">
                <w:rPr>
                  <w:rFonts w:ascii="Times New Roman" w:eastAsia="Times New Roman" w:hAnsi="Times New Roman" w:cs="Times New Roman"/>
                  <w:color w:val="0000FF"/>
                  <w:sz w:val="24"/>
                  <w:szCs w:val="24"/>
                  <w:u w:val="single"/>
                </w:rPr>
                <w:t>Thông tư 13/2010/TT-BKHCN</w:t>
              </w:r>
            </w:hyperlink>
          </w:p>
          <w:p w:rsidR="00A86C03" w:rsidRPr="00A86C03" w:rsidRDefault="00A86C03" w:rsidP="00A86C0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A86C03">
                <w:rPr>
                  <w:rFonts w:ascii="Times New Roman" w:eastAsia="Times New Roman" w:hAnsi="Times New Roman" w:cs="Times New Roman"/>
                  <w:color w:val="0000FF"/>
                  <w:sz w:val="24"/>
                  <w:szCs w:val="24"/>
                  <w:u w:val="single"/>
                </w:rPr>
                <w:t>Thông tư 18/2011/TT-BKHCN</w:t>
              </w:r>
            </w:hyperlink>
          </w:p>
          <w:p w:rsidR="00A86C03" w:rsidRPr="00A86C03" w:rsidRDefault="00A86C03" w:rsidP="00A86C0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A86C03">
                <w:rPr>
                  <w:rFonts w:ascii="Times New Roman" w:eastAsia="Times New Roman" w:hAnsi="Times New Roman" w:cs="Times New Roman"/>
                  <w:color w:val="0000FF"/>
                  <w:sz w:val="24"/>
                  <w:szCs w:val="24"/>
                  <w:u w:val="single"/>
                </w:rPr>
                <w:t>Luật 02/2011/QH13</w:t>
              </w:r>
            </w:hyperlink>
          </w:p>
          <w:p w:rsidR="00A86C03" w:rsidRPr="00A86C03" w:rsidRDefault="00A86C03" w:rsidP="00A86C0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A86C03">
                <w:rPr>
                  <w:rFonts w:ascii="Times New Roman" w:eastAsia="Times New Roman" w:hAnsi="Times New Roman" w:cs="Times New Roman"/>
                  <w:color w:val="0000FF"/>
                  <w:sz w:val="24"/>
                  <w:szCs w:val="24"/>
                  <w:u w:val="single"/>
                </w:rPr>
                <w:t>Thông tư 05/2013/TT-BKHCN</w:t>
              </w:r>
            </w:hyperlink>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Yêu cầu hoặc điều kiện để thực hiện TTHC</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không</w:t>
            </w:r>
          </w:p>
        </w:tc>
      </w:tr>
      <w:tr w:rsidR="00A86C03" w:rsidRPr="00A86C03" w:rsidTr="00A86C03">
        <w:trPr>
          <w:tblCellSpacing w:w="0" w:type="dxa"/>
        </w:trPr>
        <w:tc>
          <w:tcPr>
            <w:tcW w:w="271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b/>
                <w:bCs/>
                <w:sz w:val="24"/>
                <w:szCs w:val="24"/>
              </w:rPr>
              <w:t>Đánh giá tác động TTHC</w:t>
            </w:r>
          </w:p>
        </w:tc>
        <w:tc>
          <w:tcPr>
            <w:tcW w:w="772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86C03" w:rsidRPr="00A86C03" w:rsidRDefault="00A86C03" w:rsidP="00A86C03">
            <w:pPr>
              <w:spacing w:before="100" w:beforeAutospacing="1" w:after="100" w:afterAutospacing="1" w:line="240" w:lineRule="auto"/>
              <w:rPr>
                <w:rFonts w:ascii="Times New Roman" w:eastAsia="Times New Roman" w:hAnsi="Times New Roman" w:cs="Times New Roman"/>
                <w:sz w:val="24"/>
                <w:szCs w:val="24"/>
              </w:rPr>
            </w:pPr>
            <w:r w:rsidRPr="00A86C03">
              <w:rPr>
                <w:rFonts w:ascii="Times New Roman" w:eastAsia="Times New Roman" w:hAnsi="Times New Roman" w:cs="Times New Roman"/>
                <w:sz w:val="24"/>
                <w:szCs w:val="24"/>
              </w:rPr>
              <w:t>Không có thông tin</w:t>
            </w:r>
          </w:p>
        </w:tc>
      </w:tr>
    </w:tbl>
    <w:p w:rsidR="00C32D03" w:rsidRDefault="00A86C03"/>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E21E35"/>
    <w:multiLevelType w:val="multilevel"/>
    <w:tmpl w:val="1102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03"/>
    <w:rsid w:val="00423F8E"/>
    <w:rsid w:val="00A86C03"/>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19CBF-B548-4E38-A5C8-FF2427921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C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C03"/>
    <w:rPr>
      <w:b/>
      <w:bCs/>
    </w:rPr>
  </w:style>
  <w:style w:type="character" w:styleId="Hyperlink">
    <w:name w:val="Hyperlink"/>
    <w:basedOn w:val="DefaultParagraphFont"/>
    <w:uiPriority w:val="99"/>
    <w:semiHidden/>
    <w:unhideWhenUsed/>
    <w:rsid w:val="00A86C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24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thutuchanhchinh.vn/TW/Pages/chitiet-vb-qdtthc-khac.aspx?ItemID=581" TargetMode="External"/><Relationship Id="rId13" Type="http://schemas.openxmlformats.org/officeDocument/2006/relationships/hyperlink" Target="http://vbpl.vn/TW/Pages/vbpq-thuoctinh.aspx?ItemID=26852" TargetMode="External"/><Relationship Id="rId3" Type="http://schemas.openxmlformats.org/officeDocument/2006/relationships/settings" Target="settings.xml"/><Relationship Id="rId7" Type="http://schemas.openxmlformats.org/officeDocument/2006/relationships/hyperlink" Target="http://csdl.thutuchanhchinh.vn/tw/Pages/chi-tiet-thu-tuc-hanh-chinh.aspx?ItemID=437446&amp;tthcDonVi=B%E1%BB%99%20Khoa%20h%E1%BB%8Dc%20v%C3%A0%20C%C3%B4ng%20ngh%E1%BB%87" TargetMode="External"/><Relationship Id="rId12" Type="http://schemas.openxmlformats.org/officeDocument/2006/relationships/hyperlink" Target="http://vbpl.vn/TW/Pages/vbpq-thuoctinh.aspx?ItemID=256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sdl.thutuchanhchinh.vn/tw/Pages/chi-tiet-thu-tuc-hanh-chinh.aspx?ItemID=437446&amp;tthcDonVi=B%E1%BB%99%20Khoa%20h%E1%BB%8Dc%20v%C3%A0%20C%C3%B4ng%20ngh%E1%BB%87" TargetMode="External"/><Relationship Id="rId11" Type="http://schemas.openxmlformats.org/officeDocument/2006/relationships/hyperlink" Target="http://vbpl.vn/TW/Pages/vbpq-thuoctinh.aspx?ItemID=12311" TargetMode="External"/><Relationship Id="rId5" Type="http://schemas.openxmlformats.org/officeDocument/2006/relationships/hyperlink" Target="http://csdl.thutuchanhchinh.vn/TW/Lists/MauDonToKhai/Attachments/14044/to%20khai%20khieu%20nai.doc" TargetMode="External"/><Relationship Id="rId15" Type="http://schemas.openxmlformats.org/officeDocument/2006/relationships/hyperlink" Target="http://vbpl.vn/TW/Pages/vbpq-thuoctinh.aspx?ItemID=41192" TargetMode="External"/><Relationship Id="rId10" Type="http://schemas.openxmlformats.org/officeDocument/2006/relationships/hyperlink" Target="http://vbpl.vn/TW/Pages/vbpq-thuoctinh.aspx?ItemID=14011" TargetMode="External"/><Relationship Id="rId4" Type="http://schemas.openxmlformats.org/officeDocument/2006/relationships/webSettings" Target="webSettings.xml"/><Relationship Id="rId9" Type="http://schemas.openxmlformats.org/officeDocument/2006/relationships/hyperlink" Target="http://vbpl.vn/TW/Pages/vbpq-thuoctinh.aspx?ItemID=15221" TargetMode="External"/><Relationship Id="rId14" Type="http://schemas.openxmlformats.org/officeDocument/2006/relationships/hyperlink" Target="http://vbpl.vn/TW/Pages/vbpq-thuoctinh.aspx?ItemID=27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4788</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2018-01-22T08:12:00Z</dcterms:created>
  <dcterms:modified xsi:type="dcterms:W3CDTF">2018-01-22T08:12:00Z</dcterms:modified>
</cp:coreProperties>
</file>